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3C0C" w14:textId="77777777" w:rsidR="00F93BE2" w:rsidRPr="007D60B3" w:rsidRDefault="00F93BE2" w:rsidP="002670DE">
      <w:pPr>
        <w:spacing w:line="315" w:lineRule="atLeast"/>
        <w:jc w:val="right"/>
        <w:rPr>
          <w:rStyle w:val="Strong"/>
          <w:rFonts w:ascii="Helvetica" w:eastAsia="Times New Roman" w:hAnsi="Helvetica" w:cs="Helvetica"/>
          <w:b w:val="0"/>
          <w:color w:val="auto"/>
          <w:sz w:val="21"/>
          <w:szCs w:val="21"/>
        </w:rPr>
      </w:pPr>
    </w:p>
    <w:p w14:paraId="10B252AF" w14:textId="3C7BBD86" w:rsidR="008676AA" w:rsidRPr="002B2615" w:rsidRDefault="007C4D7D" w:rsidP="003A0ED8">
      <w:pPr>
        <w:spacing w:before="100" w:beforeAutospacing="1" w:after="100" w:afterAutospacing="1" w:line="315" w:lineRule="atLeast"/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</w:pPr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20 </w:t>
      </w:r>
      <w:proofErr w:type="spellStart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miliona</w:t>
      </w:r>
      <w:proofErr w:type="spellEnd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evra</w:t>
      </w:r>
      <w:proofErr w:type="spellEnd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 za </w:t>
      </w:r>
      <w:proofErr w:type="spellStart"/>
      <w:r w:rsidR="004A1654"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digitalnu</w:t>
      </w:r>
      <w:proofErr w:type="spellEnd"/>
      <w:r w:rsidR="004A1654"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transform</w:t>
      </w:r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aciju</w:t>
      </w:r>
      <w:proofErr w:type="spellEnd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poljoprivre</w:t>
      </w:r>
      <w:r w:rsidR="008676AA"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de</w:t>
      </w:r>
      <w:proofErr w:type="spellEnd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prehrambenog</w:t>
      </w:r>
      <w:proofErr w:type="spellEnd"/>
      <w:r w:rsidR="004A1654"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b/>
          <w:color w:val="auto"/>
          <w:sz w:val="36"/>
          <w:szCs w:val="20"/>
          <w:shd w:val="clear" w:color="auto" w:fill="FFFFFF"/>
        </w:rPr>
        <w:t>sektora</w:t>
      </w:r>
      <w:proofErr w:type="spellEnd"/>
      <w:r w:rsidR="004A1654" w:rsidRPr="007D60B3">
        <w:rPr>
          <w:rFonts w:ascii="Arial" w:hAnsi="Arial" w:cs="Arial"/>
          <w:color w:val="auto"/>
          <w:sz w:val="20"/>
          <w:szCs w:val="20"/>
        </w:rPr>
        <w:br/>
      </w:r>
      <w:r w:rsidR="004A1654" w:rsidRPr="007D60B3">
        <w:rPr>
          <w:rFonts w:ascii="Arial" w:hAnsi="Arial" w:cs="Arial"/>
          <w:color w:val="auto"/>
          <w:sz w:val="20"/>
          <w:szCs w:val="20"/>
        </w:rPr>
        <w:br/>
      </w:r>
      <w:r w:rsidR="004A1654" w:rsidRPr="007D60B3">
        <w:rPr>
          <w:rFonts w:ascii="Arial" w:hAnsi="Arial" w:cs="Arial"/>
          <w:color w:val="auto"/>
          <w:sz w:val="20"/>
          <w:szCs w:val="20"/>
        </w:rPr>
        <w:br/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Projekat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osmišljen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sa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ciljem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da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omogući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pospeši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digitalnu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transformaciju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</w:t>
      </w:r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prehrambenog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sektora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u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Evropi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Sa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budžetom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od 20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miliona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evra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,</w:t>
      </w:r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ji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finansira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Evropska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unija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projekat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ima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cilj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izgradnju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široke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panevropske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mreže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centara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="005249D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digitalne</w:t>
      </w:r>
      <w:proofErr w:type="spellEnd"/>
      <w:r w:rsidR="005249D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inovacije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(D</w:t>
      </w:r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igital </w:t>
      </w:r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nnovation </w:t>
      </w:r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H</w:t>
      </w:r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ubs, DIHs</w:t>
      </w:r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).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zvanično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je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počeo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1. </w:t>
      </w:r>
      <w:proofErr w:type="spellStart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novembra</w:t>
      </w:r>
      <w:proofErr w:type="spellEnd"/>
      <w:r w:rsidR="004A165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2018.</w:t>
      </w:r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godine</w:t>
      </w:r>
      <w:proofErr w:type="spellEnd"/>
      <w:r w:rsidR="008676AA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.</w:t>
      </w:r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BioSens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Institut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iz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Novog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Sada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jedan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 od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partnera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projekta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r w:rsidR="004A1654" w:rsidRPr="002B2615">
        <w:rPr>
          <w:rFonts w:ascii="Arial" w:hAnsi="Arial" w:cs="Arial"/>
          <w:color w:val="auto"/>
          <w:sz w:val="22"/>
          <w:szCs w:val="20"/>
        </w:rPr>
        <w:br/>
      </w:r>
      <w:r w:rsidR="004A1654" w:rsidRPr="002B2615">
        <w:rPr>
          <w:rFonts w:ascii="Arial" w:hAnsi="Arial" w:cs="Arial"/>
          <w:color w:val="auto"/>
          <w:sz w:val="22"/>
          <w:szCs w:val="20"/>
        </w:rPr>
        <w:br/>
      </w:r>
      <w:proofErr w:type="spellStart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: 140 </w:t>
      </w:r>
      <w:proofErr w:type="spellStart"/>
      <w:r w:rsidR="008676AA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centara</w:t>
      </w:r>
      <w:proofErr w:type="spellEnd"/>
      <w:r w:rsidR="008676AA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za</w:t>
      </w:r>
      <w:r w:rsidR="005249D9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249D9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digitalne</w:t>
      </w:r>
      <w:proofErr w:type="spellEnd"/>
      <w:r w:rsidR="008676AA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76AA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inovacije</w:t>
      </w:r>
      <w:proofErr w:type="spellEnd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, 9 </w:t>
      </w:r>
      <w:proofErr w:type="spellStart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regionalnih</w:t>
      </w:r>
      <w:proofErr w:type="spellEnd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klastera</w:t>
      </w:r>
      <w:proofErr w:type="spellEnd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i</w:t>
      </w:r>
      <w:proofErr w:type="spellEnd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28 </w:t>
      </w:r>
      <w:proofErr w:type="spellStart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vodećih</w:t>
      </w:r>
      <w:proofErr w:type="spellEnd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inovativnih</w:t>
      </w:r>
      <w:proofErr w:type="spellEnd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4A1654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eksperimenata</w:t>
      </w:r>
      <w:proofErr w:type="spellEnd"/>
    </w:p>
    <w:p w14:paraId="0D81535C" w14:textId="77777777" w:rsidR="006921DE" w:rsidRPr="002B2615" w:rsidRDefault="004A1654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2"/>
          <w:szCs w:val="20"/>
          <w:shd w:val="clear" w:color="auto" w:fill="FFFFFF"/>
        </w:rPr>
      </w:pPr>
      <w:r w:rsidRPr="002B2615">
        <w:rPr>
          <w:rFonts w:ascii="Arial" w:hAnsi="Arial" w:cs="Arial"/>
          <w:color w:val="auto"/>
          <w:sz w:val="22"/>
          <w:szCs w:val="20"/>
        </w:rPr>
        <w:br/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Projekat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ima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ogroman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potencijal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da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promeni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pravila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igre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kada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reč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o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usvajanju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primeni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digitalnih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tehnologija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Nedavne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inicijative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jasno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ukazuju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na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to </w:t>
      </w:r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da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postoji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volja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da se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mogućnosti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koje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nudi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IKT u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poljoprivredi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iskoriste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kako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bi se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optimizovala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unapredila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poljoprivredna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proizvodnja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proizvodnja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prehrambenih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proizvoda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</w:p>
    <w:p w14:paraId="542B4191" w14:textId="77777777" w:rsidR="006921DE" w:rsidRPr="002B2615" w:rsidRDefault="004A1654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2"/>
          <w:szCs w:val="20"/>
          <w:shd w:val="clear" w:color="auto" w:fill="FFFFFF"/>
        </w:rPr>
      </w:pP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Međutim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postojeće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aplikacije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6921D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tehnologije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dalje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fragmentirane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uglavnom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ih</w:t>
      </w:r>
      <w:proofErr w:type="spellEnd"/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koriste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mal</w:t>
      </w:r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grup</w:t>
      </w:r>
      <w:r w:rsidR="007C4D7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korisnika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.</w:t>
      </w:r>
    </w:p>
    <w:p w14:paraId="3DD2B586" w14:textId="2A020782" w:rsidR="001A2B3D" w:rsidRPr="002B2615" w:rsidRDefault="004A1654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2"/>
          <w:szCs w:val="20"/>
          <w:shd w:val="clear" w:color="auto" w:fill="FFFFFF"/>
        </w:rPr>
      </w:pP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će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povezati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ojačati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lokalne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inicijative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centre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</w:t>
      </w:r>
      <w:r w:rsidR="005249D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249D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digitalne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inovacije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kao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20 000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istraživačkih</w:t>
      </w:r>
      <w:proofErr w:type="spellEnd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861E97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centara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širom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Evrope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Projekat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vec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́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uspostavio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veliku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mrežu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od 140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centara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digitalne</w:t>
      </w:r>
      <w:proofErr w:type="spellEnd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inovacije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oslanjajući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se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na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već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postojeće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inicijative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projekte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kao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što</w:t>
      </w:r>
      <w:proofErr w:type="spellEnd"/>
      <w:r w:rsidR="007D60B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 </w:t>
      </w:r>
      <w:r w:rsidR="007D60B3" w:rsidRPr="002B2615">
        <w:rPr>
          <w:rFonts w:ascii="Arial" w:hAnsi="Arial" w:cs="Arial"/>
          <w:i/>
          <w:color w:val="auto"/>
          <w:sz w:val="22"/>
          <w:szCs w:val="20"/>
          <w:shd w:val="clear" w:color="auto" w:fill="FFFFFF"/>
        </w:rPr>
        <w:t>Internet of Food and Farm 2020</w:t>
      </w:r>
      <w:r w:rsidRPr="002B2615">
        <w:rPr>
          <w:rFonts w:ascii="Arial" w:hAnsi="Arial" w:cs="Arial"/>
          <w:i/>
          <w:color w:val="auto"/>
          <w:sz w:val="22"/>
          <w:szCs w:val="20"/>
          <w:shd w:val="clear" w:color="auto" w:fill="FFFFFF"/>
        </w:rPr>
        <w:t xml:space="preserve"> (IoF2020).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</w:p>
    <w:p w14:paraId="5E9A5103" w14:textId="022C9FA4" w:rsidR="007A5D42" w:rsidRPr="002B2615" w:rsidRDefault="00757D38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2"/>
          <w:szCs w:val="20"/>
          <w:shd w:val="clear" w:color="auto" w:fill="FFFFFF"/>
        </w:rPr>
      </w:pP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će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podrž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ati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razvoj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28 </w:t>
      </w:r>
      <w:proofErr w:type="spellStart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inovativnih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eksperimenata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u </w:t>
      </w:r>
      <w:proofErr w:type="spellStart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okviru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kojih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će</w:t>
      </w:r>
      <w:proofErr w:type="spellEnd"/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ideje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koncepti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prototipi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biti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dalje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razvijani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plasirani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na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tržište</w:t>
      </w:r>
      <w:proofErr w:type="spellEnd"/>
      <w:r w:rsidR="007A5D42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r w:rsidR="007D42A9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</w:p>
    <w:p w14:paraId="34A3B7E3" w14:textId="77777777" w:rsidR="00757D38" w:rsidRPr="002B2615" w:rsidRDefault="004A1654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2"/>
          <w:szCs w:val="20"/>
          <w:shd w:val="clear" w:color="auto" w:fill="FFFFFF"/>
        </w:rPr>
      </w:pP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Očekuje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se da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će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tokom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njegovog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trajanja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biti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poveza</w:t>
      </w:r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no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oko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2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miliona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farmi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što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će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proces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digitalizacije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približiti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specifičnim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potrebama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poljoprivrednika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Demistifikacija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digitalizacije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 od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vitalnog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značaja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uspeh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projekt</w:t>
      </w:r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kako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bi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poljoprivrednicima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bilo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lakše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da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postignu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značajne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rezultate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.</w:t>
      </w:r>
    </w:p>
    <w:p w14:paraId="6C91DFB1" w14:textId="273564D9" w:rsidR="00582E36" w:rsidRPr="002B2615" w:rsidRDefault="004A1654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2"/>
          <w:szCs w:val="20"/>
          <w:shd w:val="clear" w:color="auto" w:fill="FFFFFF"/>
        </w:rPr>
      </w:pPr>
      <w:r w:rsidRPr="002B2615">
        <w:rPr>
          <w:rFonts w:ascii="Arial" w:hAnsi="Arial" w:cs="Arial"/>
          <w:color w:val="auto"/>
          <w:sz w:val="22"/>
          <w:szCs w:val="20"/>
        </w:rPr>
        <w:br/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u w:val="single"/>
          <w:shd w:val="clear" w:color="auto" w:fill="FFFFFF"/>
        </w:rPr>
        <w:t>okuplja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različite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ekspertize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uključuje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široku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mrežu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aktera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iz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čitave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Evrope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Konzorcijum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uključuje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ogromnu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mrežu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startup-a,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malih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srednjih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preduzeća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istraživača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inženjera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kao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krajnjih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korisnika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Krajnji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korisnici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nalaze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se u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srcu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projekta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pokretačka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su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snaga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transformacije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.</w:t>
      </w:r>
    </w:p>
    <w:p w14:paraId="2966FF6E" w14:textId="439A249D" w:rsidR="00CC5324" w:rsidRPr="002B2615" w:rsidRDefault="004A1654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2"/>
          <w:szCs w:val="20"/>
          <w:shd w:val="clear" w:color="auto" w:fill="FFFFFF"/>
        </w:rPr>
      </w:pPr>
      <w:r w:rsidRPr="002B2615">
        <w:rPr>
          <w:rFonts w:ascii="Arial" w:hAnsi="Arial" w:cs="Arial"/>
          <w:color w:val="auto"/>
          <w:sz w:val="22"/>
          <w:szCs w:val="20"/>
        </w:rPr>
        <w:lastRenderedPageBreak/>
        <w:br/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Velika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pažnja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biće</w:t>
      </w:r>
      <w:proofErr w:type="spellEnd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82E36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posvećena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komunikaciji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obuci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angažovanju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svih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zainteresovanih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strana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.</w:t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teži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stvaranju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međusobno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povezanih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ekosistema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u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kojima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zainteresovane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strane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rade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zajedno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u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različitim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fazama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procesa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</w:t>
      </w:r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,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od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ranih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istraživanja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do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plasiranja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novih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tehnologija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na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tržište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njihove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upotrebe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u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proizvodnji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.</w:t>
      </w:r>
    </w:p>
    <w:p w14:paraId="7420E2F6" w14:textId="7A440182" w:rsidR="004A1654" w:rsidRPr="00582E36" w:rsidRDefault="004A1654" w:rsidP="003A0ED8">
      <w:pPr>
        <w:spacing w:before="100" w:beforeAutospacing="1" w:after="100" w:afterAutospacing="1" w:line="315" w:lineRule="atLeas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Da bi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uključili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obučili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informi</w:t>
      </w:r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ali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širi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krug</w:t>
      </w:r>
      <w:proofErr w:type="spellEnd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CC5324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korisnika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konzorcijum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će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tokom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celog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trajanja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projekta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uspostaviti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nekoliko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alata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kao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što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 portal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na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kojem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će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poljoprivrednici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preduzetnici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moći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lako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da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pristupe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neophodnim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informacijama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katalog</w:t>
      </w:r>
      <w:r w:rsidR="002A5C6E">
        <w:rPr>
          <w:rFonts w:ascii="Arial" w:hAnsi="Arial" w:cs="Arial"/>
          <w:color w:val="auto"/>
          <w:sz w:val="22"/>
          <w:szCs w:val="20"/>
          <w:shd w:val="clear" w:color="auto" w:fill="FFFFFF"/>
        </w:rPr>
        <w:t>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u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kojem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su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mapirane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postojeće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tehnologije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primeri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dobre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prakse</w:t>
      </w:r>
      <w:proofErr w:type="spellEnd"/>
      <w:r w:rsidR="007015DD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proofErr w:type="spellStart"/>
      <w:r w:rsidR="00B93411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Džordž</w:t>
      </w:r>
      <w:proofErr w:type="spellEnd"/>
      <w:r w:rsidR="00B93411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B93411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Birs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,</w:t>
      </w:r>
      <w:r w:rsidR="00DD67A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Wageningen University &amp; Research,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DD67A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koordinator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projekta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="00DD67A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rekao</w:t>
      </w:r>
      <w:proofErr w:type="spellEnd"/>
      <w:r w:rsidR="00DD67A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je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: "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neće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samo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povećati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konkurentnost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održivost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evrops</w:t>
      </w:r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ke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poljoprivrede</w:t>
      </w:r>
      <w:proofErr w:type="spellEnd"/>
      <w:r w:rsidR="00757D38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prehrambenog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sektora</w:t>
      </w:r>
      <w:proofErr w:type="spellEnd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već</w:t>
      </w:r>
      <w:proofErr w:type="spellEnd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će</w:t>
      </w:r>
      <w:proofErr w:type="spellEnd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strateški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preokrenuti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ove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oblasti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 putu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izvrsnosti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FB37F3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uspeha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.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Zajedno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našim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partnerima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verujemo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da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će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SmartAgriHubs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pokazati</w:t>
      </w:r>
      <w:proofErr w:type="spellEnd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pun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potencijal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digitalizacije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stvarajući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panevropsku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mrežu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centara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kao</w:t>
      </w:r>
      <w:proofErr w:type="spellEnd"/>
      <w:r w:rsidR="002A5C6E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bookmarkStart w:id="0" w:name="_GoBack"/>
      <w:bookmarkEnd w:id="0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i da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će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podstaći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sve</w:t>
      </w:r>
      <w:proofErr w:type="spellEnd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zainteresovane</w:t>
      </w:r>
      <w:proofErr w:type="spellEnd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strane</w:t>
      </w:r>
      <w:proofErr w:type="spellEnd"/>
      <w:r w:rsidR="005F77B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da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postignu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svoj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puni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kapacitet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ubrzano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usvajanje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tehnoloških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. "</w:t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r w:rsidR="007F007F" w:rsidRPr="002B2615">
        <w:rPr>
          <w:rFonts w:ascii="Arial" w:hAnsi="Arial" w:cs="Arial"/>
          <w:b/>
          <w:color w:val="auto"/>
          <w:sz w:val="22"/>
          <w:szCs w:val="20"/>
          <w:shd w:val="clear" w:color="auto" w:fill="FFFFFF"/>
        </w:rPr>
        <w:t>O PROJEKTU:</w:t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• Instrument: Horizon 2020, DT-RUR-12-2-18: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IKT za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poljoprivredu</w:t>
      </w:r>
      <w:proofErr w:type="spellEnd"/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•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Doprinos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Evropske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unije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: 20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miliona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evra</w:t>
      </w:r>
      <w:proofErr w:type="spellEnd"/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•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Trajanje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: 4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godine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, 2018-2022</w:t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•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Konzorcijum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: 108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partnera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mogućnost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proširivanja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kroz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otvorene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pozive</w:t>
      </w:r>
      <w:proofErr w:type="spellEnd"/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• 140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centara</w:t>
      </w:r>
      <w:proofErr w:type="spellEnd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, 9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regionalnih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klastera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28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vodećih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inovativnih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eksperimenata</w:t>
      </w:r>
      <w:proofErr w:type="spellEnd"/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•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Javno-privatno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finansiranje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putem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mobilizacije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dodatnih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sredstava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(30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miliona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€)</w:t>
      </w:r>
      <w:r w:rsidRPr="002B2615">
        <w:rPr>
          <w:rFonts w:ascii="Arial" w:hAnsi="Arial" w:cs="Arial"/>
          <w:color w:val="auto"/>
          <w:sz w:val="22"/>
          <w:szCs w:val="20"/>
        </w:rPr>
        <w:br/>
      </w:r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• </w:t>
      </w:r>
      <w:proofErr w:type="spellStart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Velika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pažnja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biće</w:t>
      </w:r>
      <w:proofErr w:type="spellEnd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posvećena</w:t>
      </w:r>
      <w:proofErr w:type="spellEnd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uspostavljanju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održive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mreže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centara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za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digitalne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inovacije</w:t>
      </w:r>
      <w:proofErr w:type="spellEnd"/>
      <w:r w:rsidR="007F007F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sa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održivim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="00EE331E"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biznis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modelima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</w:t>
      </w:r>
      <w:proofErr w:type="spellEnd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 xml:space="preserve"> </w:t>
      </w:r>
      <w:proofErr w:type="spellStart"/>
      <w:r w:rsidRPr="002B2615">
        <w:rPr>
          <w:rFonts w:ascii="Arial" w:hAnsi="Arial" w:cs="Arial"/>
          <w:color w:val="auto"/>
          <w:sz w:val="22"/>
          <w:szCs w:val="20"/>
          <w:shd w:val="clear" w:color="auto" w:fill="FFFFFF"/>
        </w:rPr>
        <w:t>investic</w:t>
      </w:r>
      <w:r w:rsidRPr="007D60B3">
        <w:rPr>
          <w:rFonts w:ascii="Arial" w:hAnsi="Arial" w:cs="Arial"/>
          <w:color w:val="auto"/>
          <w:sz w:val="20"/>
          <w:szCs w:val="20"/>
          <w:shd w:val="clear" w:color="auto" w:fill="FFFFFF"/>
        </w:rPr>
        <w:t>ionim</w:t>
      </w:r>
      <w:proofErr w:type="spellEnd"/>
      <w:r w:rsidRPr="007D60B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7D60B3">
        <w:rPr>
          <w:rFonts w:ascii="Arial" w:hAnsi="Arial" w:cs="Arial"/>
          <w:color w:val="auto"/>
          <w:sz w:val="20"/>
          <w:szCs w:val="20"/>
          <w:shd w:val="clear" w:color="auto" w:fill="FFFFFF"/>
        </w:rPr>
        <w:t>fondovima</w:t>
      </w:r>
      <w:proofErr w:type="spellEnd"/>
    </w:p>
    <w:sectPr w:rsidR="004A1654" w:rsidRPr="00582E36" w:rsidSect="00624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E0B31" w14:textId="77777777" w:rsidR="0054443A" w:rsidRDefault="0054443A" w:rsidP="005249D9">
      <w:r>
        <w:separator/>
      </w:r>
    </w:p>
  </w:endnote>
  <w:endnote w:type="continuationSeparator" w:id="0">
    <w:p w14:paraId="47B28665" w14:textId="77777777" w:rsidR="0054443A" w:rsidRDefault="0054443A" w:rsidP="0052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82EB2" w14:textId="77777777" w:rsidR="0054443A" w:rsidRDefault="0054443A" w:rsidP="005249D9">
      <w:r>
        <w:separator/>
      </w:r>
    </w:p>
  </w:footnote>
  <w:footnote w:type="continuationSeparator" w:id="0">
    <w:p w14:paraId="116A0B5E" w14:textId="77777777" w:rsidR="0054443A" w:rsidRDefault="0054443A" w:rsidP="0052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0A5"/>
    <w:multiLevelType w:val="multilevel"/>
    <w:tmpl w:val="B80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1429E"/>
    <w:multiLevelType w:val="multilevel"/>
    <w:tmpl w:val="79147E5A"/>
    <w:lvl w:ilvl="0">
      <w:start w:val="1"/>
      <w:numFmt w:val="bullet"/>
      <w:pStyle w:val="StandaardbulletsSchuttelaa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0537334"/>
    <w:multiLevelType w:val="multilevel"/>
    <w:tmpl w:val="4B9AB8F6"/>
    <w:lvl w:ilvl="0">
      <w:start w:val="1"/>
      <w:numFmt w:val="decimal"/>
      <w:pStyle w:val="StandaardlijstSchuttelaa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3E4215C"/>
    <w:multiLevelType w:val="hybridMultilevel"/>
    <w:tmpl w:val="ED383328"/>
    <w:lvl w:ilvl="0" w:tplc="2676D1AA">
      <w:start w:val="1"/>
      <w:numFmt w:val="decimal"/>
      <w:pStyle w:val="Kop1genummerdSchuttelaar"/>
      <w:lvlText w:val="%1"/>
      <w:lvlJc w:val="left"/>
      <w:pPr>
        <w:tabs>
          <w:tab w:val="num" w:pos="0"/>
        </w:tabs>
        <w:ind w:left="0" w:hanging="1134"/>
      </w:pPr>
      <w:rPr>
        <w:rFonts w:hint="default"/>
      </w:rPr>
    </w:lvl>
    <w:lvl w:ilvl="1" w:tplc="1C961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6E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69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AA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49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208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E9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127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F5FDE"/>
    <w:multiLevelType w:val="hybridMultilevel"/>
    <w:tmpl w:val="197AC71A"/>
    <w:lvl w:ilvl="0" w:tplc="D84A08BE">
      <w:start w:val="1"/>
      <w:numFmt w:val="decimal"/>
      <w:pStyle w:val="Kop2genummerdSchuttelaar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7D5603"/>
    <w:multiLevelType w:val="hybridMultilevel"/>
    <w:tmpl w:val="1F9CF14A"/>
    <w:lvl w:ilvl="0" w:tplc="9B7C6D70">
      <w:start w:val="1"/>
      <w:numFmt w:val="decimal"/>
      <w:pStyle w:val="OnderwerpSchuttelaar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DE"/>
    <w:rsid w:val="00063D32"/>
    <w:rsid w:val="00076881"/>
    <w:rsid w:val="00096C1E"/>
    <w:rsid w:val="0014200F"/>
    <w:rsid w:val="001435A2"/>
    <w:rsid w:val="001A2B3D"/>
    <w:rsid w:val="001D1F69"/>
    <w:rsid w:val="002670DE"/>
    <w:rsid w:val="002A5C6E"/>
    <w:rsid w:val="002A5D0A"/>
    <w:rsid w:val="002B2615"/>
    <w:rsid w:val="002C0945"/>
    <w:rsid w:val="002F5957"/>
    <w:rsid w:val="00397483"/>
    <w:rsid w:val="003A0ED8"/>
    <w:rsid w:val="00486D4D"/>
    <w:rsid w:val="004A1654"/>
    <w:rsid w:val="00514B90"/>
    <w:rsid w:val="005249D9"/>
    <w:rsid w:val="0054443A"/>
    <w:rsid w:val="00551032"/>
    <w:rsid w:val="00582E36"/>
    <w:rsid w:val="005F77BE"/>
    <w:rsid w:val="00620BE0"/>
    <w:rsid w:val="00624D49"/>
    <w:rsid w:val="00687F1C"/>
    <w:rsid w:val="006921DE"/>
    <w:rsid w:val="006A104F"/>
    <w:rsid w:val="006E0ECE"/>
    <w:rsid w:val="006F3789"/>
    <w:rsid w:val="006F55E2"/>
    <w:rsid w:val="007015DD"/>
    <w:rsid w:val="007443CE"/>
    <w:rsid w:val="00757D38"/>
    <w:rsid w:val="007A5D42"/>
    <w:rsid w:val="007C4D7D"/>
    <w:rsid w:val="007D42A9"/>
    <w:rsid w:val="007D60B3"/>
    <w:rsid w:val="007F007F"/>
    <w:rsid w:val="00861E97"/>
    <w:rsid w:val="008676AA"/>
    <w:rsid w:val="00913EE9"/>
    <w:rsid w:val="009817DF"/>
    <w:rsid w:val="009C6C5E"/>
    <w:rsid w:val="00B66E20"/>
    <w:rsid w:val="00B800A1"/>
    <w:rsid w:val="00B93411"/>
    <w:rsid w:val="00CC5324"/>
    <w:rsid w:val="00CC5F4F"/>
    <w:rsid w:val="00CE6C74"/>
    <w:rsid w:val="00D14315"/>
    <w:rsid w:val="00DD67A8"/>
    <w:rsid w:val="00DD6E53"/>
    <w:rsid w:val="00DE0491"/>
    <w:rsid w:val="00DE2438"/>
    <w:rsid w:val="00DF29E4"/>
    <w:rsid w:val="00DF3AE3"/>
    <w:rsid w:val="00E03A65"/>
    <w:rsid w:val="00E520FC"/>
    <w:rsid w:val="00E70F2B"/>
    <w:rsid w:val="00E912EF"/>
    <w:rsid w:val="00EE331E"/>
    <w:rsid w:val="00EE4806"/>
    <w:rsid w:val="00F00635"/>
    <w:rsid w:val="00F44163"/>
    <w:rsid w:val="00F93BE2"/>
    <w:rsid w:val="00FA6D89"/>
    <w:rsid w:val="00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60BFA2"/>
  <w15:chartTrackingRefBased/>
  <w15:docId w15:val="{B7B995C1-E103-48EF-A732-0E5E2F52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0DE"/>
    <w:rPr>
      <w:rFonts w:eastAsiaTheme="minorHAnsi"/>
      <w:color w:val="333333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24D49"/>
    <w:pPr>
      <w:keepNext/>
      <w:pageBreakBefore/>
      <w:spacing w:after="480" w:line="480" w:lineRule="atLeast"/>
      <w:outlineLvl w:val="0"/>
    </w:pPr>
    <w:rPr>
      <w:rFonts w:ascii="Trebuchet MS" w:hAnsi="Trebuchet MS" w:cs="Arial"/>
      <w:b/>
      <w:bCs/>
      <w:sz w:val="32"/>
      <w:szCs w:val="19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4D49"/>
    <w:pPr>
      <w:keepNext/>
      <w:spacing w:before="240" w:after="240" w:line="280" w:lineRule="atLeast"/>
      <w:outlineLvl w:val="1"/>
    </w:pPr>
    <w:rPr>
      <w:rFonts w:ascii="Trebuchet MS" w:hAnsi="Trebuchet MS" w:cs="Arial"/>
      <w:b/>
      <w:bCs/>
      <w:iCs/>
      <w:kern w:val="16"/>
      <w:sz w:val="19"/>
      <w:szCs w:val="28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ysbasisSchuttelaar">
    <w:name w:val="Zsysbasis Schuttelaar"/>
    <w:rsid w:val="00624D49"/>
    <w:pPr>
      <w:spacing w:line="280" w:lineRule="atLeast"/>
    </w:pPr>
    <w:rPr>
      <w:rFonts w:ascii="Trebuchet MS" w:hAnsi="Trebuchet MS"/>
      <w:kern w:val="16"/>
      <w:sz w:val="19"/>
      <w:lang w:eastAsia="en-US"/>
    </w:rPr>
  </w:style>
  <w:style w:type="paragraph" w:customStyle="1" w:styleId="StandaardlijstSchuttelaar">
    <w:name w:val="Standaard lijst Schuttelaar"/>
    <w:basedOn w:val="Normal"/>
    <w:rsid w:val="00624D49"/>
    <w:pPr>
      <w:numPr>
        <w:numId w:val="1"/>
      </w:numPr>
      <w:spacing w:line="280" w:lineRule="atLeast"/>
    </w:pPr>
    <w:rPr>
      <w:rFonts w:ascii="Trebuchet MS" w:hAnsi="Trebuchet MS"/>
      <w:kern w:val="16"/>
      <w:sz w:val="19"/>
      <w:szCs w:val="20"/>
      <w:lang w:val="nl-NL"/>
    </w:rPr>
  </w:style>
  <w:style w:type="paragraph" w:customStyle="1" w:styleId="StandaardbulletsSchuttelaar">
    <w:name w:val="Standaard bullets Schuttelaar"/>
    <w:basedOn w:val="Normal"/>
    <w:rsid w:val="00624D49"/>
    <w:pPr>
      <w:numPr>
        <w:numId w:val="2"/>
      </w:numPr>
      <w:spacing w:line="280" w:lineRule="atLeast"/>
    </w:pPr>
    <w:rPr>
      <w:rFonts w:ascii="Trebuchet MS" w:hAnsi="Trebuchet MS"/>
      <w:kern w:val="16"/>
      <w:sz w:val="19"/>
      <w:szCs w:val="20"/>
      <w:lang w:val="nl-NL"/>
    </w:rPr>
  </w:style>
  <w:style w:type="paragraph" w:customStyle="1" w:styleId="Kop1genummerdSchuttelaar">
    <w:name w:val="Kop 1 genummerd Schuttelaar"/>
    <w:basedOn w:val="Heading1"/>
    <w:next w:val="Normal"/>
    <w:rsid w:val="00624D49"/>
    <w:pPr>
      <w:numPr>
        <w:numId w:val="3"/>
      </w:numPr>
    </w:pPr>
  </w:style>
  <w:style w:type="paragraph" w:customStyle="1" w:styleId="Kop2genummerdSchuttelaar">
    <w:name w:val="Kop 2 genummerd Schuttelaar"/>
    <w:basedOn w:val="Heading2"/>
    <w:rsid w:val="00624D49"/>
    <w:pPr>
      <w:numPr>
        <w:numId w:val="4"/>
      </w:numPr>
    </w:pPr>
  </w:style>
  <w:style w:type="paragraph" w:customStyle="1" w:styleId="BasistekstingesprongenSchuttelaar">
    <w:name w:val="Basistekst ingesprongen Schuttelaar"/>
    <w:basedOn w:val="Normal"/>
    <w:rsid w:val="00624D49"/>
    <w:pPr>
      <w:spacing w:line="280" w:lineRule="atLeast"/>
      <w:ind w:left="1134"/>
    </w:pPr>
    <w:rPr>
      <w:rFonts w:ascii="Trebuchet MS" w:hAnsi="Trebuchet MS"/>
      <w:kern w:val="16"/>
      <w:sz w:val="19"/>
      <w:szCs w:val="20"/>
      <w:lang w:val="nl-NL"/>
    </w:rPr>
  </w:style>
  <w:style w:type="paragraph" w:customStyle="1" w:styleId="BasistekstSchuttelaar">
    <w:name w:val="Basistekst Schuttelaar"/>
    <w:basedOn w:val="Normal"/>
    <w:rsid w:val="00624D49"/>
    <w:pPr>
      <w:spacing w:line="280" w:lineRule="atLeast"/>
    </w:pPr>
    <w:rPr>
      <w:rFonts w:ascii="Trebuchet MS" w:hAnsi="Trebuchet MS"/>
      <w:kern w:val="16"/>
      <w:sz w:val="19"/>
      <w:szCs w:val="20"/>
      <w:lang w:val="nl-NL"/>
    </w:rPr>
  </w:style>
  <w:style w:type="paragraph" w:customStyle="1" w:styleId="OmschrijvingSchuttelaar">
    <w:name w:val="Omschrijving Schuttelaar"/>
    <w:basedOn w:val="Normal"/>
    <w:rsid w:val="00624D49"/>
    <w:pPr>
      <w:spacing w:line="240" w:lineRule="atLeast"/>
      <w:ind w:left="1134"/>
    </w:pPr>
    <w:rPr>
      <w:rFonts w:ascii="Trebuchet MS" w:hAnsi="Trebuchet MS"/>
      <w:kern w:val="16"/>
      <w:sz w:val="19"/>
      <w:szCs w:val="19"/>
      <w:lang w:val="nl-NL" w:eastAsia="nl-NL"/>
    </w:rPr>
  </w:style>
  <w:style w:type="paragraph" w:customStyle="1" w:styleId="OnderwerpSchuttelaar">
    <w:name w:val="Onderwerp Schuttelaar"/>
    <w:basedOn w:val="Heading2"/>
    <w:next w:val="OmschrijvingSchuttelaar"/>
    <w:rsid w:val="00624D49"/>
    <w:pPr>
      <w:numPr>
        <w:numId w:val="6"/>
      </w:numPr>
      <w:spacing w:before="0" w:after="0" w:line="240" w:lineRule="atLeast"/>
    </w:pPr>
  </w:style>
  <w:style w:type="character" w:styleId="Strong">
    <w:name w:val="Strong"/>
    <w:basedOn w:val="DefaultParagraphFont"/>
    <w:uiPriority w:val="22"/>
    <w:qFormat/>
    <w:rsid w:val="002670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670DE"/>
    <w:rPr>
      <w:rFonts w:ascii="Trebuchet MS" w:hAnsi="Trebuchet MS" w:cs="Arial"/>
      <w:b/>
      <w:bCs/>
      <w:iCs/>
      <w:kern w:val="16"/>
      <w:sz w:val="19"/>
      <w:szCs w:val="28"/>
    </w:rPr>
  </w:style>
  <w:style w:type="character" w:styleId="Emphasis">
    <w:name w:val="Emphasis"/>
    <w:basedOn w:val="DefaultParagraphFont"/>
    <w:uiPriority w:val="20"/>
    <w:qFormat/>
    <w:rsid w:val="002670DE"/>
    <w:rPr>
      <w:i/>
      <w:iCs/>
    </w:rPr>
  </w:style>
  <w:style w:type="character" w:styleId="Hyperlink">
    <w:name w:val="Hyperlink"/>
    <w:basedOn w:val="DefaultParagraphFont"/>
    <w:uiPriority w:val="99"/>
    <w:unhideWhenUsed/>
    <w:rsid w:val="001420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0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4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9D9"/>
    <w:rPr>
      <w:rFonts w:eastAsiaTheme="minorHAnsi"/>
      <w:color w:val="333333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24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9D9"/>
    <w:rPr>
      <w:rFonts w:eastAsiaTheme="minorHAnsi"/>
      <w:color w:val="33333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C3C2-580D-4D18-A4D2-C1501ED2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van de Kolk</dc:creator>
  <cp:keywords/>
  <dc:description/>
  <cp:lastModifiedBy>Ivana Horvat</cp:lastModifiedBy>
  <cp:revision>29</cp:revision>
  <dcterms:created xsi:type="dcterms:W3CDTF">2018-10-31T12:02:00Z</dcterms:created>
  <dcterms:modified xsi:type="dcterms:W3CDTF">2018-11-11T09:47:00Z</dcterms:modified>
</cp:coreProperties>
</file>